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5618E5" w14:textId="77777777" w:rsidR="000D60F8" w:rsidRDefault="00C75E2C" w:rsidP="000D60F8">
      <w:pPr>
        <w:jc w:val="center"/>
        <w:rPr>
          <w:b/>
          <w:bCs/>
          <w:color w:val="4472C4" w:themeColor="accent1"/>
          <w:sz w:val="32"/>
          <w:szCs w:val="32"/>
        </w:rPr>
      </w:pPr>
      <w:r w:rsidRPr="000D60F8">
        <w:rPr>
          <w:b/>
          <w:bCs/>
          <w:color w:val="4472C4" w:themeColor="accent1"/>
          <w:sz w:val="32"/>
          <w:szCs w:val="32"/>
        </w:rPr>
        <w:t>ÉVES ADATVÉDELMI JELENTÉS</w:t>
      </w:r>
    </w:p>
    <w:p w14:paraId="67CA20E7" w14:textId="6EAC7D76" w:rsidR="00C75E2C" w:rsidRPr="000D60F8" w:rsidRDefault="00C75E2C" w:rsidP="000D60F8">
      <w:pPr>
        <w:jc w:val="center"/>
        <w:rPr>
          <w:b/>
          <w:bCs/>
          <w:color w:val="4472C4" w:themeColor="accent1"/>
          <w:sz w:val="32"/>
          <w:szCs w:val="32"/>
        </w:rPr>
      </w:pPr>
      <w:r w:rsidRPr="00C75E2C">
        <w:t>a</w:t>
      </w:r>
      <w:r>
        <w:t xml:space="preserve"> Magyarországi Romák</w:t>
      </w:r>
      <w:r w:rsidRPr="00C75E2C">
        <w:t xml:space="preserve"> Országos Önkormányzat</w:t>
      </w:r>
      <w:r>
        <w:t>a</w:t>
      </w:r>
      <w:r w:rsidRPr="00C75E2C">
        <w:t xml:space="preserve"> részére</w:t>
      </w:r>
    </w:p>
    <w:p w14:paraId="731CA1F8" w14:textId="77777777" w:rsidR="000D60F8" w:rsidRDefault="000D60F8" w:rsidP="00C75E2C"/>
    <w:p w14:paraId="505D240B" w14:textId="0405F1DF" w:rsidR="00C75E2C" w:rsidRPr="00C75E2C" w:rsidRDefault="00C75E2C" w:rsidP="00C75E2C">
      <w:r w:rsidRPr="00C75E2C">
        <w:t xml:space="preserve">Tisztelt </w:t>
      </w:r>
      <w:r>
        <w:t>Képviselők</w:t>
      </w:r>
      <w:r w:rsidRPr="00C75E2C">
        <w:t>!</w:t>
      </w:r>
    </w:p>
    <w:p w14:paraId="203CA9F1" w14:textId="6261202D" w:rsidR="00C75E2C" w:rsidRPr="00C75E2C" w:rsidRDefault="00C75E2C" w:rsidP="00C75E2C">
      <w:r w:rsidRPr="00C75E2C">
        <w:t>Társaságunk</w:t>
      </w:r>
      <w:r>
        <w:t xml:space="preserve">, a VFK Data Pro. Kft. </w:t>
      </w:r>
      <w:r w:rsidRPr="00C75E2C">
        <w:t>az elmúlt évben is ellátta a</w:t>
      </w:r>
      <w:r>
        <w:t xml:space="preserve"> Magyarországi Romák</w:t>
      </w:r>
      <w:r w:rsidRPr="00C75E2C">
        <w:t xml:space="preserve"> Országo</w:t>
      </w:r>
      <w:r>
        <w:t>s</w:t>
      </w:r>
      <w:r w:rsidRPr="00C75E2C">
        <w:t xml:space="preserve"> Önkormányzat</w:t>
      </w:r>
      <w:r>
        <w:t>ának</w:t>
      </w:r>
      <w:r w:rsidRPr="00C75E2C">
        <w:t xml:space="preserve"> adatvédelmi tisztviselői feladatait. Ez a feladat </w:t>
      </w:r>
      <w:r w:rsidRPr="00C75E2C">
        <w:rPr>
          <w:b/>
          <w:bCs/>
        </w:rPr>
        <w:t>kötelező</w:t>
      </w:r>
      <w:r w:rsidRPr="00C75E2C">
        <w:t xml:space="preserve">, mert a </w:t>
      </w:r>
      <w:r>
        <w:t>2018 óta hatályos Általános Adatvédelmi Rendelet (</w:t>
      </w:r>
      <w:r w:rsidRPr="00C75E2C">
        <w:t>GDPR</w:t>
      </w:r>
      <w:r>
        <w:t>)</w:t>
      </w:r>
      <w:r w:rsidRPr="00C75E2C">
        <w:t xml:space="preserve"> előírja, és csak </w:t>
      </w:r>
      <w:r w:rsidRPr="00C75E2C">
        <w:rPr>
          <w:b/>
          <w:bCs/>
        </w:rPr>
        <w:t>független, szakmai szervezet</w:t>
      </w:r>
      <w:r w:rsidRPr="00C75E2C">
        <w:t xml:space="preserve"> láthatja el </w:t>
      </w:r>
      <w:r>
        <w:t>szabályszerűen</w:t>
      </w:r>
      <w:r w:rsidRPr="00C75E2C">
        <w:t xml:space="preserve">. </w:t>
      </w:r>
      <w:r>
        <w:t>Társaságunk</w:t>
      </w:r>
      <w:r w:rsidRPr="00C75E2C">
        <w:t xml:space="preserve"> ezt a munkát 2018 óta, a GDPR bevezetésének első </w:t>
      </w:r>
      <w:r w:rsidR="000D60F8">
        <w:t>évétő</w:t>
      </w:r>
      <w:r w:rsidRPr="00C75E2C">
        <w:t>l kezdve végez</w:t>
      </w:r>
      <w:r>
        <w:t>i</w:t>
      </w:r>
      <w:r w:rsidRPr="00C75E2C">
        <w:t xml:space="preserve"> az Önök számára.</w:t>
      </w:r>
    </w:p>
    <w:p w14:paraId="52504443" w14:textId="77777777" w:rsidR="00C75E2C" w:rsidRPr="00C75E2C" w:rsidRDefault="00C75E2C" w:rsidP="00C75E2C">
      <w:pPr>
        <w:rPr>
          <w:b/>
          <w:bCs/>
        </w:rPr>
      </w:pPr>
      <w:r w:rsidRPr="00C75E2C">
        <w:rPr>
          <w:b/>
          <w:bCs/>
        </w:rPr>
        <w:t>1. Az adatvédelmi dokumentáció elkészítése és fenntartása</w:t>
      </w:r>
    </w:p>
    <w:p w14:paraId="6C57A3A4" w14:textId="77777777" w:rsidR="00C75E2C" w:rsidRPr="00C75E2C" w:rsidRDefault="00C75E2C" w:rsidP="00C75E2C">
      <w:r w:rsidRPr="00C75E2C">
        <w:t>A GDPR előírásai szerint minden adatkezelő szervezetnek – amelynek önálló adószáma van – saját adatvédelmi dokumentációval kell rendelkeznie. Ennek megfelelően elkészítettük:</w:t>
      </w:r>
    </w:p>
    <w:p w14:paraId="792DBA98" w14:textId="77777777" w:rsidR="00C75E2C" w:rsidRPr="00C75E2C" w:rsidRDefault="00C75E2C" w:rsidP="00C75E2C">
      <w:pPr>
        <w:numPr>
          <w:ilvl w:val="0"/>
          <w:numId w:val="1"/>
        </w:numPr>
      </w:pPr>
      <w:r w:rsidRPr="00C75E2C">
        <w:t>az adatkezelői nyilvántartást,</w:t>
      </w:r>
    </w:p>
    <w:p w14:paraId="6A5C4856" w14:textId="77777777" w:rsidR="00C75E2C" w:rsidRPr="00C75E2C" w:rsidRDefault="00C75E2C" w:rsidP="00C75E2C">
      <w:pPr>
        <w:numPr>
          <w:ilvl w:val="0"/>
          <w:numId w:val="1"/>
        </w:numPr>
      </w:pPr>
      <w:r w:rsidRPr="00C75E2C">
        <w:t>az adatvédelmi és adatbiztonsági szabályzatot,</w:t>
      </w:r>
    </w:p>
    <w:p w14:paraId="714FF377" w14:textId="77777777" w:rsidR="00C75E2C" w:rsidRPr="00C75E2C" w:rsidRDefault="00C75E2C" w:rsidP="00C75E2C">
      <w:pPr>
        <w:numPr>
          <w:ilvl w:val="0"/>
          <w:numId w:val="1"/>
        </w:numPr>
      </w:pPr>
      <w:r w:rsidRPr="00C75E2C">
        <w:t>az adatkezelési tájékoztatókat.</w:t>
      </w:r>
    </w:p>
    <w:p w14:paraId="233C0F79" w14:textId="75622E05" w:rsidR="00C75E2C" w:rsidRDefault="00C75E2C" w:rsidP="00C75E2C">
      <w:r w:rsidRPr="00C75E2C">
        <w:t>Ezek a dokumentumok</w:t>
      </w:r>
      <w:r w:rsidR="000D60F8">
        <w:t xml:space="preserve">, </w:t>
      </w:r>
      <w:r w:rsidRPr="00C75E2C">
        <w:t xml:space="preserve">az </w:t>
      </w:r>
      <w:r w:rsidR="007E6B13">
        <w:t>alábbi Adatkezelők számára</w:t>
      </w:r>
      <w:r w:rsidR="000D60F8">
        <w:t xml:space="preserve"> készültek el</w:t>
      </w:r>
      <w:r w:rsidR="007E6B13">
        <w:t>:</w:t>
      </w:r>
    </w:p>
    <w:p w14:paraId="1882F051" w14:textId="6E08AB33" w:rsidR="007E6B13" w:rsidRDefault="007E6B13" w:rsidP="007E6B13">
      <w:pPr>
        <w:pStyle w:val="Listaszerbekezds"/>
        <w:numPr>
          <w:ilvl w:val="0"/>
          <w:numId w:val="6"/>
        </w:numPr>
      </w:pPr>
      <w:r>
        <w:t>Magyarországi Romák Országos Önkormányzata</w:t>
      </w:r>
    </w:p>
    <w:p w14:paraId="5F840BE8" w14:textId="3D715AEB" w:rsidR="007E6B13" w:rsidRDefault="007E6B13" w:rsidP="007E6B13">
      <w:pPr>
        <w:pStyle w:val="Listaszerbekezds"/>
        <w:numPr>
          <w:ilvl w:val="0"/>
          <w:numId w:val="6"/>
        </w:numPr>
      </w:pPr>
      <w:r>
        <w:t>Magyarországi Romák Országos Önkormányzatának Hivatala</w:t>
      </w:r>
    </w:p>
    <w:p w14:paraId="2F9FE17B" w14:textId="6D0C387C" w:rsidR="007E6B13" w:rsidRDefault="007E6B13" w:rsidP="007E6B13">
      <w:pPr>
        <w:pStyle w:val="Listaszerbekezds"/>
        <w:numPr>
          <w:ilvl w:val="0"/>
          <w:numId w:val="6"/>
        </w:numPr>
      </w:pPr>
      <w:r>
        <w:t>Országos Roma Kulturális és Médiacentrum</w:t>
      </w:r>
    </w:p>
    <w:p w14:paraId="11C5C030" w14:textId="53AECC4A" w:rsidR="007E6B13" w:rsidRDefault="007E6B13" w:rsidP="007E6B13">
      <w:pPr>
        <w:pStyle w:val="Listaszerbekezds"/>
        <w:numPr>
          <w:ilvl w:val="0"/>
          <w:numId w:val="6"/>
        </w:numPr>
      </w:pPr>
      <w:r>
        <w:t>Országos Roma Foglalkoztatási Központ</w:t>
      </w:r>
    </w:p>
    <w:p w14:paraId="753DE7E9" w14:textId="6DF77B9B" w:rsidR="007E6B13" w:rsidRDefault="007E6B13" w:rsidP="007E6B13">
      <w:pPr>
        <w:pStyle w:val="Listaszerbekezds"/>
        <w:numPr>
          <w:ilvl w:val="0"/>
          <w:numId w:val="6"/>
        </w:numPr>
      </w:pPr>
      <w:r>
        <w:t>Sportközpont</w:t>
      </w:r>
    </w:p>
    <w:p w14:paraId="278E9496" w14:textId="5AC1FEA2" w:rsidR="007E6B13" w:rsidRDefault="007E6B13" w:rsidP="007E6B13">
      <w:pPr>
        <w:pStyle w:val="Listaszerbekezds"/>
        <w:numPr>
          <w:ilvl w:val="0"/>
          <w:numId w:val="6"/>
        </w:numPr>
      </w:pPr>
      <w:r>
        <w:t>Roma Misszió</w:t>
      </w:r>
    </w:p>
    <w:p w14:paraId="7BEECFC8" w14:textId="038E24C0" w:rsidR="007E6B13" w:rsidRDefault="007E6B13" w:rsidP="007E6B13">
      <w:pPr>
        <w:pStyle w:val="Listaszerbekezds"/>
        <w:numPr>
          <w:ilvl w:val="0"/>
          <w:numId w:val="6"/>
        </w:numPr>
      </w:pPr>
      <w:r>
        <w:t>Tiszapüspöki Általános Iskola</w:t>
      </w:r>
    </w:p>
    <w:p w14:paraId="3AB79FCF" w14:textId="73607CA5" w:rsidR="007E6B13" w:rsidRPr="00C75E2C" w:rsidRDefault="007E6B13" w:rsidP="007E6B13">
      <w:pPr>
        <w:pStyle w:val="Listaszerbekezds"/>
        <w:numPr>
          <w:ilvl w:val="0"/>
          <w:numId w:val="6"/>
        </w:numPr>
      </w:pPr>
      <w:r>
        <w:t>Teleki József Általános Iskola és Szakiskola</w:t>
      </w:r>
    </w:p>
    <w:p w14:paraId="522A5685" w14:textId="77777777" w:rsidR="00C75E2C" w:rsidRPr="00C75E2C" w:rsidRDefault="00C75E2C" w:rsidP="00C75E2C">
      <w:pPr>
        <w:rPr>
          <w:b/>
          <w:bCs/>
        </w:rPr>
      </w:pPr>
      <w:r w:rsidRPr="00C75E2C">
        <w:rPr>
          <w:b/>
          <w:bCs/>
        </w:rPr>
        <w:t>2. Tájékoztatási kötelezettségek teljesítése</w:t>
      </w:r>
    </w:p>
    <w:p w14:paraId="3D4603AF" w14:textId="7AA439C3" w:rsidR="00C75E2C" w:rsidRPr="00C75E2C" w:rsidRDefault="00C75E2C" w:rsidP="00C75E2C">
      <w:r w:rsidRPr="00C75E2C">
        <w:t xml:space="preserve">A jogszabály szerint nemcsak a munkavállalók felé kötelező adatkezelési tájékoztatást adni, hanem </w:t>
      </w:r>
      <w:r w:rsidRPr="00C75E2C">
        <w:rPr>
          <w:b/>
          <w:bCs/>
        </w:rPr>
        <w:t>minden ellátott számára is</w:t>
      </w:r>
      <w:r w:rsidRPr="00C75E2C">
        <w:t>, akik a</w:t>
      </w:r>
      <w:r w:rsidR="007E6B13">
        <w:t xml:space="preserve"> Nemzetiségi Önkormányzat és Intézményei feladatellátását, </w:t>
      </w:r>
      <w:r w:rsidRPr="00C75E2C">
        <w:t xml:space="preserve">szolgáltatásait igénybe veszik. A tájékoztatóknak </w:t>
      </w:r>
      <w:r w:rsidRPr="00C75E2C">
        <w:rPr>
          <w:b/>
          <w:bCs/>
        </w:rPr>
        <w:t>kérés nélkül, azonnal hozzáférhetőnek</w:t>
      </w:r>
      <w:r w:rsidRPr="00C75E2C">
        <w:t xml:space="preserve"> kell lenniük a feladatellátás helyszínein.</w:t>
      </w:r>
    </w:p>
    <w:p w14:paraId="42082279" w14:textId="77777777" w:rsidR="00C75E2C" w:rsidRPr="00C75E2C" w:rsidRDefault="00C75E2C" w:rsidP="00C75E2C">
      <w:r w:rsidRPr="00C75E2C">
        <w:t>Ezt a kötelezettséget az elmúlt évben is folyamatosan segítettük.</w:t>
      </w:r>
    </w:p>
    <w:p w14:paraId="4D1F43E3" w14:textId="77777777" w:rsidR="00C75E2C" w:rsidRPr="00C75E2C" w:rsidRDefault="00C75E2C" w:rsidP="00C75E2C">
      <w:pPr>
        <w:rPr>
          <w:b/>
          <w:bCs/>
        </w:rPr>
      </w:pPr>
      <w:r w:rsidRPr="00C75E2C">
        <w:rPr>
          <w:b/>
          <w:bCs/>
        </w:rPr>
        <w:t>3. Rendezvények, támogatások, regisztrációk adatkezelése</w:t>
      </w:r>
    </w:p>
    <w:p w14:paraId="437C43B1" w14:textId="33FF29B8" w:rsidR="00C75E2C" w:rsidRPr="00C75E2C" w:rsidRDefault="00C75E2C" w:rsidP="00C75E2C">
      <w:r w:rsidRPr="00C75E2C">
        <w:t>A</w:t>
      </w:r>
      <w:r w:rsidR="007E6B13">
        <w:t xml:space="preserve"> Roma N</w:t>
      </w:r>
      <w:r w:rsidRPr="00C75E2C">
        <w:t xml:space="preserve">emzetiségi </w:t>
      </w:r>
      <w:r w:rsidR="007E6B13">
        <w:t>Ö</w:t>
      </w:r>
      <w:r w:rsidRPr="00C75E2C">
        <w:t>nkormányzat</w:t>
      </w:r>
      <w:r w:rsidR="007E6B13">
        <w:t xml:space="preserve"> és Intézményei</w:t>
      </w:r>
      <w:r w:rsidRPr="00C75E2C">
        <w:t xml:space="preserve"> aktív közösségi életet szervez</w:t>
      </w:r>
      <w:r w:rsidR="007E6B13">
        <w:t>nek</w:t>
      </w:r>
      <w:r w:rsidRPr="00C75E2C">
        <w:t xml:space="preserve">: rendezvényeket, támogatási programokat, pályázatokat. Ezek mind </w:t>
      </w:r>
      <w:r w:rsidRPr="00C75E2C">
        <w:rPr>
          <w:b/>
          <w:bCs/>
        </w:rPr>
        <w:t>adatkezelést keletkeztetnek</w:t>
      </w:r>
      <w:r w:rsidRPr="00C75E2C">
        <w:t>.</w:t>
      </w:r>
    </w:p>
    <w:p w14:paraId="113DAA2E" w14:textId="77777777" w:rsidR="00C75E2C" w:rsidRPr="00C75E2C" w:rsidRDefault="00C75E2C" w:rsidP="00C75E2C">
      <w:r w:rsidRPr="00C75E2C">
        <w:t>Ezért minden egyes eseményhez szükséges:</w:t>
      </w:r>
    </w:p>
    <w:p w14:paraId="05B66821" w14:textId="77777777" w:rsidR="00C75E2C" w:rsidRPr="00C75E2C" w:rsidRDefault="00C75E2C" w:rsidP="00C75E2C">
      <w:pPr>
        <w:numPr>
          <w:ilvl w:val="0"/>
          <w:numId w:val="2"/>
        </w:numPr>
      </w:pPr>
      <w:r w:rsidRPr="00C75E2C">
        <w:t>külön adatkezelési tájékoztató,</w:t>
      </w:r>
    </w:p>
    <w:p w14:paraId="41C55D0E" w14:textId="77777777" w:rsidR="00C75E2C" w:rsidRPr="00C75E2C" w:rsidRDefault="00C75E2C" w:rsidP="00C75E2C">
      <w:pPr>
        <w:numPr>
          <w:ilvl w:val="0"/>
          <w:numId w:val="2"/>
        </w:numPr>
      </w:pPr>
      <w:r w:rsidRPr="00C75E2C">
        <w:t>hozzájáruló nyilatkozat, ha fotó, videó vagy hangfelvétel készül,</w:t>
      </w:r>
    </w:p>
    <w:p w14:paraId="4B8FBC39" w14:textId="77777777" w:rsidR="00C75E2C" w:rsidRPr="00C75E2C" w:rsidRDefault="00C75E2C" w:rsidP="00C75E2C">
      <w:pPr>
        <w:numPr>
          <w:ilvl w:val="0"/>
          <w:numId w:val="2"/>
        </w:numPr>
      </w:pPr>
      <w:r w:rsidRPr="00C75E2C">
        <w:lastRenderedPageBreak/>
        <w:t>hozzájárulás, ha magánszemélyek regisztrálnak vagy pályázatot adnak be.</w:t>
      </w:r>
    </w:p>
    <w:p w14:paraId="6434C440" w14:textId="77777777" w:rsidR="00C75E2C" w:rsidRPr="00C75E2C" w:rsidRDefault="00C75E2C" w:rsidP="00C75E2C">
      <w:r w:rsidRPr="00C75E2C">
        <w:t>Ezeket a dokumentumokat társaságunk elkészítette és átadta.</w:t>
      </w:r>
    </w:p>
    <w:p w14:paraId="5759BA84" w14:textId="20E11DF3" w:rsidR="00C75E2C" w:rsidRPr="00C75E2C" w:rsidRDefault="00C75E2C" w:rsidP="00C75E2C">
      <w:pPr>
        <w:rPr>
          <w:b/>
          <w:bCs/>
        </w:rPr>
      </w:pPr>
      <w:r w:rsidRPr="00C75E2C">
        <w:rPr>
          <w:b/>
          <w:bCs/>
        </w:rPr>
        <w:t xml:space="preserve">4. A helyi </w:t>
      </w:r>
      <w:r w:rsidR="007E6B13">
        <w:rPr>
          <w:b/>
          <w:bCs/>
        </w:rPr>
        <w:t>roma n</w:t>
      </w:r>
      <w:r w:rsidRPr="00C75E2C">
        <w:rPr>
          <w:b/>
          <w:bCs/>
        </w:rPr>
        <w:t>emzetiségi önkormányzatok helyzete</w:t>
      </w:r>
    </w:p>
    <w:p w14:paraId="2855500B" w14:textId="1AE40A9A" w:rsidR="00C75E2C" w:rsidRPr="00C75E2C" w:rsidRDefault="00C75E2C" w:rsidP="00C75E2C">
      <w:r w:rsidRPr="00C75E2C">
        <w:t xml:space="preserve">Fontos kiemelni, hogy az adatvédelmi tisztviselő kijelölése és a GDPR-kötelezettségek teljesítése </w:t>
      </w:r>
      <w:r w:rsidRPr="00C75E2C">
        <w:rPr>
          <w:b/>
          <w:bCs/>
        </w:rPr>
        <w:t>nemcsak az országos</w:t>
      </w:r>
      <w:r w:rsidRPr="00C75E2C">
        <w:t xml:space="preserve">, hanem </w:t>
      </w:r>
      <w:r w:rsidRPr="00C75E2C">
        <w:rPr>
          <w:b/>
          <w:bCs/>
        </w:rPr>
        <w:t>a helyi, települési</w:t>
      </w:r>
      <w:r w:rsidR="007E6B13">
        <w:rPr>
          <w:b/>
          <w:bCs/>
        </w:rPr>
        <w:t xml:space="preserve"> roma</w:t>
      </w:r>
      <w:r w:rsidRPr="00C75E2C">
        <w:rPr>
          <w:b/>
          <w:bCs/>
        </w:rPr>
        <w:t xml:space="preserve"> nemzetiségi önkormányzatok számára is kötelező</w:t>
      </w:r>
      <w:r w:rsidRPr="00C75E2C">
        <w:t>.</w:t>
      </w:r>
    </w:p>
    <w:p w14:paraId="6BEC73A9" w14:textId="7A69B0CA" w:rsidR="00C75E2C" w:rsidRPr="00C75E2C" w:rsidRDefault="00C75E2C" w:rsidP="00C75E2C">
      <w:r w:rsidRPr="00C75E2C">
        <w:t>Bár s</w:t>
      </w:r>
      <w:r w:rsidR="007E6B13">
        <w:t>zámos</w:t>
      </w:r>
      <w:r w:rsidRPr="00C75E2C">
        <w:t xml:space="preserve"> helyi</w:t>
      </w:r>
      <w:r w:rsidR="007E6B13">
        <w:t>, roma</w:t>
      </w:r>
      <w:r w:rsidRPr="00C75E2C">
        <w:t xml:space="preserve"> nemzetiségi önkormányzattal dolgozunk együtt, országos szinten azt látjuk, hogy:</w:t>
      </w:r>
    </w:p>
    <w:p w14:paraId="691E070A" w14:textId="77777777" w:rsidR="00C75E2C" w:rsidRPr="00C75E2C" w:rsidRDefault="00C75E2C" w:rsidP="00C75E2C">
      <w:pPr>
        <w:numPr>
          <w:ilvl w:val="0"/>
          <w:numId w:val="3"/>
        </w:numPr>
      </w:pPr>
      <w:r w:rsidRPr="00C75E2C">
        <w:t>nincs egységes, központi intézkedés,</w:t>
      </w:r>
    </w:p>
    <w:p w14:paraId="4000F328" w14:textId="6CFB8333" w:rsidR="00C75E2C" w:rsidRPr="00C75E2C" w:rsidRDefault="00C75E2C" w:rsidP="00C75E2C">
      <w:pPr>
        <w:numPr>
          <w:ilvl w:val="0"/>
          <w:numId w:val="3"/>
        </w:numPr>
      </w:pPr>
      <w:r w:rsidRPr="00C75E2C">
        <w:t xml:space="preserve">sok helyen a Polgármesteri Hivatal vagy a Közös Önkormányzati Hivatal </w:t>
      </w:r>
      <w:r w:rsidR="007E6B13">
        <w:t>hozzáállásán múlik</w:t>
      </w:r>
      <w:r w:rsidRPr="00C75E2C">
        <w:t>, mennyire tájékoztatják a helyi</w:t>
      </w:r>
      <w:r w:rsidR="007E6B13">
        <w:t xml:space="preserve"> roma (és bármely más helyi szinten működő) </w:t>
      </w:r>
      <w:r w:rsidRPr="00C75E2C">
        <w:t>nemzetiségi önkormányzatot</w:t>
      </w:r>
      <w:r w:rsidR="000D60F8">
        <w:t>,</w:t>
      </w:r>
      <w:r w:rsidRPr="00C75E2C">
        <w:t xml:space="preserve"> a</w:t>
      </w:r>
      <w:r w:rsidR="000D60F8">
        <w:t>z adatvédelmi előírásokról,</w:t>
      </w:r>
      <w:r w:rsidRPr="00C75E2C">
        <w:t xml:space="preserve"> kötelezettségekről.</w:t>
      </w:r>
    </w:p>
    <w:p w14:paraId="7F7D2E47" w14:textId="36673630" w:rsidR="00C75E2C" w:rsidRPr="00C75E2C" w:rsidRDefault="00C75E2C" w:rsidP="00C75E2C">
      <w:r w:rsidRPr="00C75E2C">
        <w:t xml:space="preserve">Ezért jeleztük, hogy </w:t>
      </w:r>
      <w:r w:rsidRPr="00C75E2C">
        <w:rPr>
          <w:b/>
          <w:bCs/>
        </w:rPr>
        <w:t>készek vagyunk</w:t>
      </w:r>
      <w:r w:rsidRPr="00C75E2C">
        <w:t xml:space="preserve"> a helyi </w:t>
      </w:r>
      <w:r w:rsidR="007E6B13">
        <w:t xml:space="preserve">roma </w:t>
      </w:r>
      <w:r w:rsidRPr="00C75E2C">
        <w:t xml:space="preserve">nemzetiségi önkormányzatok számára is biztosítani a GDPR-megfelelést, </w:t>
      </w:r>
      <w:r w:rsidRPr="00C75E2C">
        <w:rPr>
          <w:b/>
          <w:bCs/>
        </w:rPr>
        <w:t>alacsony költséggel</w:t>
      </w:r>
      <w:r w:rsidRPr="00C75E2C">
        <w:t>, egységes rendszerben, ha az Országos</w:t>
      </w:r>
      <w:r w:rsidR="007E6B13">
        <w:t xml:space="preserve"> Roma </w:t>
      </w:r>
      <w:r w:rsidRPr="00C75E2C">
        <w:t>Önkormányzat részéről érkezik egy hivatalos felkérés a központi ajánlat kidolgozására.</w:t>
      </w:r>
    </w:p>
    <w:p w14:paraId="00655774" w14:textId="77777777" w:rsidR="00C75E2C" w:rsidRPr="00C75E2C" w:rsidRDefault="00C75E2C" w:rsidP="00C75E2C">
      <w:pPr>
        <w:rPr>
          <w:b/>
          <w:bCs/>
        </w:rPr>
      </w:pPr>
      <w:r w:rsidRPr="00C75E2C">
        <w:rPr>
          <w:b/>
          <w:bCs/>
        </w:rPr>
        <w:t>5. Miért fontos a központi megerősítés?</w:t>
      </w:r>
    </w:p>
    <w:p w14:paraId="4AD8A1C8" w14:textId="77777777" w:rsidR="00C75E2C" w:rsidRPr="00C75E2C" w:rsidRDefault="00C75E2C" w:rsidP="00C75E2C">
      <w:r w:rsidRPr="00C75E2C">
        <w:t>A helyi vezetők erős, a közösségeiket irányítani képes emberek, akik felelős pénzügyi döntéseket hoznak. Azonban az adatvédelmi kötelezettségek teljesítéséhez szükséges:</w:t>
      </w:r>
    </w:p>
    <w:p w14:paraId="73C348AD" w14:textId="77777777" w:rsidR="00C75E2C" w:rsidRPr="00C75E2C" w:rsidRDefault="00C75E2C" w:rsidP="00C75E2C">
      <w:pPr>
        <w:numPr>
          <w:ilvl w:val="0"/>
          <w:numId w:val="4"/>
        </w:numPr>
      </w:pPr>
      <w:r w:rsidRPr="00C75E2C">
        <w:t>a központi iránymutatás,</w:t>
      </w:r>
    </w:p>
    <w:p w14:paraId="25C806F7" w14:textId="77777777" w:rsidR="00C75E2C" w:rsidRPr="00C75E2C" w:rsidRDefault="00C75E2C" w:rsidP="00C75E2C">
      <w:pPr>
        <w:numPr>
          <w:ilvl w:val="0"/>
          <w:numId w:val="4"/>
        </w:numPr>
      </w:pPr>
      <w:r w:rsidRPr="00C75E2C">
        <w:t>a központi megerősítés,</w:t>
      </w:r>
    </w:p>
    <w:p w14:paraId="05BFFDC9" w14:textId="77777777" w:rsidR="00C75E2C" w:rsidRPr="00C75E2C" w:rsidRDefault="00C75E2C" w:rsidP="00C75E2C">
      <w:pPr>
        <w:numPr>
          <w:ilvl w:val="0"/>
          <w:numId w:val="4"/>
        </w:numPr>
      </w:pPr>
      <w:r w:rsidRPr="00C75E2C">
        <w:t>és az egységes szakmai háttér.</w:t>
      </w:r>
    </w:p>
    <w:p w14:paraId="3177C982" w14:textId="77777777" w:rsidR="00C75E2C" w:rsidRPr="00C75E2C" w:rsidRDefault="00C75E2C" w:rsidP="00C75E2C">
      <w:r w:rsidRPr="00C75E2C">
        <w:t xml:space="preserve">Ha ez 2026-ban megvalósul, akkor a következő éves jelentésben már mindenki számára egyértelmű lesz, milyen </w:t>
      </w:r>
      <w:r w:rsidRPr="00C75E2C">
        <w:rPr>
          <w:b/>
          <w:bCs/>
        </w:rPr>
        <w:t>stratégiai jelentősége</w:t>
      </w:r>
      <w:r w:rsidRPr="00C75E2C">
        <w:t xml:space="preserve"> van az együttműködésünknek.</w:t>
      </w:r>
    </w:p>
    <w:p w14:paraId="5B7A50A0" w14:textId="77777777" w:rsidR="00C75E2C" w:rsidRPr="00C75E2C" w:rsidRDefault="00C75E2C" w:rsidP="00C75E2C">
      <w:pPr>
        <w:rPr>
          <w:b/>
          <w:bCs/>
        </w:rPr>
      </w:pPr>
      <w:r w:rsidRPr="00C75E2C">
        <w:rPr>
          <w:b/>
          <w:bCs/>
        </w:rPr>
        <w:t>6. A választási év jelentősége</w:t>
      </w:r>
    </w:p>
    <w:p w14:paraId="7E73E024" w14:textId="77777777" w:rsidR="00C75E2C" w:rsidRPr="00C75E2C" w:rsidRDefault="00C75E2C" w:rsidP="00C75E2C">
      <w:r w:rsidRPr="00C75E2C">
        <w:t>Választási évben a nemzetiségi választópolgárok szerepe különösen hangsúlyos. Ilyenkor még inkább látszik, hogy a nemzetiségi önkormányzatok mennyire felelősen és átláthatóan kezelik az adatokat, és hogyan valósítják meg a közös európai adatvédelmi értékeket a mindennapokban.</w:t>
      </w:r>
    </w:p>
    <w:p w14:paraId="3E6AB300" w14:textId="77777777" w:rsidR="00C75E2C" w:rsidRPr="00C75E2C" w:rsidRDefault="00C75E2C" w:rsidP="00C75E2C">
      <w:pPr>
        <w:rPr>
          <w:b/>
          <w:bCs/>
        </w:rPr>
      </w:pPr>
      <w:r w:rsidRPr="00C75E2C">
        <w:rPr>
          <w:b/>
          <w:bCs/>
        </w:rPr>
        <w:t>Összegzés</w:t>
      </w:r>
    </w:p>
    <w:p w14:paraId="1E61CC76" w14:textId="77777777" w:rsidR="00C75E2C" w:rsidRPr="00C75E2C" w:rsidRDefault="00C75E2C" w:rsidP="00C75E2C">
      <w:r w:rsidRPr="00C75E2C">
        <w:t>Az elmúlt évben:</w:t>
      </w:r>
    </w:p>
    <w:p w14:paraId="28ED8CF5" w14:textId="77777777" w:rsidR="00C75E2C" w:rsidRPr="00C75E2C" w:rsidRDefault="00C75E2C" w:rsidP="00C75E2C">
      <w:pPr>
        <w:numPr>
          <w:ilvl w:val="0"/>
          <w:numId w:val="5"/>
        </w:numPr>
      </w:pPr>
      <w:r w:rsidRPr="00C75E2C">
        <w:t>minden kötelező adatvédelmi dokumentum elkészült,</w:t>
      </w:r>
    </w:p>
    <w:p w14:paraId="3C454E6C" w14:textId="77777777" w:rsidR="00C75E2C" w:rsidRPr="00C75E2C" w:rsidRDefault="00C75E2C" w:rsidP="00C75E2C">
      <w:pPr>
        <w:numPr>
          <w:ilvl w:val="0"/>
          <w:numId w:val="5"/>
        </w:numPr>
      </w:pPr>
      <w:r w:rsidRPr="00C75E2C">
        <w:t>minden szükséges tájékoztatót és hozzájárulást átadtunk,</w:t>
      </w:r>
    </w:p>
    <w:p w14:paraId="49DE60A6" w14:textId="77777777" w:rsidR="00C75E2C" w:rsidRDefault="00C75E2C" w:rsidP="00C75E2C">
      <w:pPr>
        <w:numPr>
          <w:ilvl w:val="0"/>
          <w:numId w:val="5"/>
        </w:numPr>
      </w:pPr>
      <w:r w:rsidRPr="00C75E2C">
        <w:t>a rendezvények és támogatások adatkezelését biztosítottuk,</w:t>
      </w:r>
    </w:p>
    <w:p w14:paraId="1B42A480" w14:textId="07E51E36" w:rsidR="007E6B13" w:rsidRDefault="007E6B13" w:rsidP="00C75E2C">
      <w:pPr>
        <w:numPr>
          <w:ilvl w:val="0"/>
          <w:numId w:val="5"/>
        </w:numPr>
      </w:pPr>
      <w:r>
        <w:t>limit nélküli konzultációs lehetőséget biztosítottunk adatvédelmi tisztviselőinkkel és szakmai programvezetőnkkel</w:t>
      </w:r>
      <w:r w:rsidR="000D60F8">
        <w:t>,</w:t>
      </w:r>
    </w:p>
    <w:p w14:paraId="209955C6" w14:textId="337F8E63" w:rsidR="007E6B13" w:rsidRPr="00C75E2C" w:rsidRDefault="007E6B13" w:rsidP="00C75E2C">
      <w:pPr>
        <w:numPr>
          <w:ilvl w:val="0"/>
          <w:numId w:val="5"/>
        </w:numPr>
      </w:pPr>
      <w:r>
        <w:t>havonta más-más témában vehettek részt szerződött partnereink és munkatársaik, online mini-konferenciáinkon (33 ilyen alkalom volt a tavalyi évben)</w:t>
      </w:r>
    </w:p>
    <w:p w14:paraId="732E8ADB" w14:textId="6E457840" w:rsidR="00C75E2C" w:rsidRPr="00C75E2C" w:rsidRDefault="00C75E2C" w:rsidP="00C75E2C">
      <w:pPr>
        <w:numPr>
          <w:ilvl w:val="0"/>
          <w:numId w:val="5"/>
        </w:numPr>
      </w:pPr>
      <w:r w:rsidRPr="00C75E2C">
        <w:lastRenderedPageBreak/>
        <w:t>jeleztük, hogy országos szinten is készek vagyunk támogatni a helyi nemzetiségi önkormányzatokat.</w:t>
      </w:r>
    </w:p>
    <w:p w14:paraId="5B91E97F" w14:textId="77777777" w:rsidR="00C75E2C" w:rsidRDefault="00C75E2C" w:rsidP="00C75E2C">
      <w:r w:rsidRPr="00C75E2C">
        <w:t>Továbbra is elkötelezetten dolgozunk azon, hogy az Önök adatvédelmi megfelelése stabil, átlátható és jogszerű legyen.</w:t>
      </w:r>
    </w:p>
    <w:p w14:paraId="31C97382" w14:textId="77777777" w:rsidR="000D60F8" w:rsidRDefault="000D60F8" w:rsidP="00C75E2C"/>
    <w:p w14:paraId="5F3118D9" w14:textId="66A75AD1" w:rsidR="000D60F8" w:rsidRDefault="000D60F8" w:rsidP="00C75E2C">
      <w:r>
        <w:t>Tisztelettel,</w:t>
      </w:r>
    </w:p>
    <w:p w14:paraId="583579EE" w14:textId="77777777" w:rsidR="000D60F8" w:rsidRDefault="000D60F8" w:rsidP="00C75E2C"/>
    <w:p w14:paraId="32924ADD" w14:textId="77777777" w:rsidR="000D60F8" w:rsidRPr="0071041B" w:rsidRDefault="000D60F8" w:rsidP="000D60F8">
      <w:pPr>
        <w:pStyle w:val="Tblzattartalom"/>
        <w:spacing w:before="120"/>
        <w:jc w:val="both"/>
        <w:rPr>
          <w:rFonts w:asciiTheme="minorHAnsi" w:hAnsiTheme="minorHAnsi" w:cstheme="minorHAnsi"/>
          <w:b/>
          <w:bCs/>
        </w:rPr>
      </w:pPr>
      <w:r w:rsidRPr="0071041B">
        <w:rPr>
          <w:rFonts w:asciiTheme="minorHAnsi" w:hAnsiTheme="minorHAnsi" w:cstheme="minorHAnsi"/>
          <w:b/>
          <w:bCs/>
          <w:color w:val="2C363A"/>
        </w:rPr>
        <w:t>Tisztelettel:</w:t>
      </w:r>
    </w:p>
    <w:p w14:paraId="314EE152" w14:textId="77777777" w:rsidR="000D60F8" w:rsidRDefault="000D60F8" w:rsidP="000D60F8">
      <w:pPr>
        <w:pStyle w:val="Tblzattartalom"/>
        <w:spacing w:before="120"/>
        <w:jc w:val="both"/>
        <w:rPr>
          <w:rFonts w:hint="eastAsia"/>
        </w:rPr>
      </w:pPr>
    </w:p>
    <w:tbl>
      <w:tblPr>
        <w:tblW w:w="1020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28"/>
        <w:gridCol w:w="238"/>
        <w:gridCol w:w="6834"/>
      </w:tblGrid>
      <w:tr w:rsidR="000D60F8" w14:paraId="4336230E" w14:textId="77777777" w:rsidTr="00366E59">
        <w:tc>
          <w:tcPr>
            <w:tcW w:w="3128" w:type="dxa"/>
            <w:vAlign w:val="center"/>
          </w:tcPr>
          <w:p w14:paraId="3A26C2E2" w14:textId="77777777" w:rsidR="000D60F8" w:rsidRDefault="000D60F8" w:rsidP="00366E59">
            <w:pPr>
              <w:widowControl w:val="0"/>
              <w:spacing w:line="252" w:lineRule="auto"/>
              <w:ind w:left="142"/>
              <w:jc w:val="both"/>
              <w:rPr>
                <w:rFonts w:eastAsiaTheme="minorEastAsia"/>
                <w:lang w:eastAsia="hu-HU"/>
              </w:rPr>
            </w:pPr>
            <w:r>
              <w:rPr>
                <w:noProof/>
                <w:lang w:eastAsia="hu-HU"/>
              </w:rPr>
              <w:drawing>
                <wp:inline distT="0" distB="0" distL="0" distR="0" wp14:anchorId="5D350EB7" wp14:editId="578263F6">
                  <wp:extent cx="1845945" cy="1105535"/>
                  <wp:effectExtent l="0" t="0" r="0" b="0"/>
                  <wp:docPr id="2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Kép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5945" cy="11055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C0F2580" w14:textId="77777777" w:rsidR="000D60F8" w:rsidRDefault="000D60F8" w:rsidP="00366E59">
            <w:pPr>
              <w:widowControl w:val="0"/>
              <w:spacing w:line="252" w:lineRule="auto"/>
              <w:jc w:val="both"/>
              <w:rPr>
                <w:rFonts w:ascii="Garamond" w:eastAsiaTheme="minorEastAsia" w:hAnsi="Garamond"/>
                <w:b/>
                <w:bCs/>
                <w:color w:val="10950A"/>
              </w:rPr>
            </w:pPr>
            <w:r>
              <w:rPr>
                <w:rFonts w:ascii="Forte" w:eastAsiaTheme="minorEastAsia" w:hAnsi="Forte"/>
                <w:color w:val="10950A"/>
                <w:lang w:eastAsia="hu-HU"/>
              </w:rPr>
              <w:t>       </w:t>
            </w:r>
            <w:r>
              <w:rPr>
                <w:rFonts w:ascii="Garamond" w:eastAsiaTheme="minorEastAsia" w:hAnsi="Garamond"/>
                <w:b/>
                <w:bCs/>
                <w:color w:val="10950A"/>
                <w:lang w:eastAsia="hu-HU"/>
              </w:rPr>
              <w:t xml:space="preserve"> VFK Data Pro. Kft.</w:t>
            </w:r>
          </w:p>
        </w:tc>
        <w:tc>
          <w:tcPr>
            <w:tcW w:w="238" w:type="dxa"/>
            <w:tcBorders>
              <w:left w:val="single" w:sz="12" w:space="0" w:color="7F7F7F"/>
            </w:tcBorders>
            <w:vAlign w:val="center"/>
          </w:tcPr>
          <w:p w14:paraId="6C1E91B0" w14:textId="77777777" w:rsidR="000D60F8" w:rsidRDefault="000D60F8" w:rsidP="00366E59">
            <w:pPr>
              <w:widowControl w:val="0"/>
              <w:spacing w:line="252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 </w:t>
            </w:r>
          </w:p>
        </w:tc>
        <w:tc>
          <w:tcPr>
            <w:tcW w:w="6834" w:type="dxa"/>
            <w:vAlign w:val="center"/>
          </w:tcPr>
          <w:p w14:paraId="6BC8063E" w14:textId="77777777" w:rsidR="000D60F8" w:rsidRDefault="000D60F8" w:rsidP="00366E59">
            <w:pPr>
              <w:widowControl w:val="0"/>
              <w:spacing w:line="252" w:lineRule="auto"/>
              <w:jc w:val="both"/>
              <w:rPr>
                <w:rFonts w:ascii="Garamond" w:eastAsiaTheme="minorEastAsia" w:hAnsi="Garamond"/>
                <w:color w:val="7F7F7F"/>
                <w:lang w:eastAsia="hu-HU"/>
              </w:rPr>
            </w:pPr>
            <w:r>
              <w:rPr>
                <w:rFonts w:ascii="Garamond" w:eastAsia="Calibri" w:hAnsi="Garamond" w:cs="Calibri"/>
                <w:b/>
                <w:bCs/>
                <w:color w:val="7F7F7F"/>
              </w:rPr>
              <w:t xml:space="preserve">dr. Vida András </w:t>
            </w:r>
            <w:r>
              <w:rPr>
                <w:rFonts w:ascii="Garamond" w:eastAsiaTheme="minorEastAsia" w:hAnsi="Garamond"/>
                <w:color w:val="7F7F7F"/>
                <w:lang w:eastAsia="hu-HU"/>
              </w:rPr>
              <w:t>LL.M.</w:t>
            </w:r>
            <w:r>
              <w:rPr>
                <w:rFonts w:ascii="Garamond" w:eastAsia="Calibri" w:hAnsi="Garamond" w:cs="Calibri"/>
                <w:color w:val="7F7F7F"/>
              </w:rPr>
              <w:t xml:space="preserve"> | </w:t>
            </w:r>
            <w:r>
              <w:rPr>
                <w:rFonts w:ascii="Garamond" w:eastAsiaTheme="minorEastAsia" w:hAnsi="Garamond"/>
                <w:color w:val="7F7F7F"/>
                <w:lang w:eastAsia="hu-HU"/>
              </w:rPr>
              <w:t>adatvédelmi és adatbiztonsági szakjogász</w:t>
            </w:r>
          </w:p>
          <w:p w14:paraId="73A47BB8" w14:textId="77777777" w:rsidR="000D60F8" w:rsidRDefault="000D60F8" w:rsidP="00366E59">
            <w:pPr>
              <w:widowControl w:val="0"/>
              <w:spacing w:line="252" w:lineRule="auto"/>
              <w:jc w:val="both"/>
              <w:rPr>
                <w:rFonts w:ascii="Garamond" w:eastAsia="Calibri" w:hAnsi="Garamond" w:cs="Times New Roman"/>
                <w:lang w:eastAsia="hu-HU"/>
              </w:rPr>
            </w:pPr>
            <w:r>
              <w:rPr>
                <w:rFonts w:ascii="Garamond" w:eastAsiaTheme="minorEastAsia" w:hAnsi="Garamond"/>
                <w:color w:val="7F7F7F"/>
                <w:lang w:eastAsia="hu-HU"/>
              </w:rPr>
              <w:t>Ügyvezető</w:t>
            </w:r>
          </w:p>
          <w:p w14:paraId="082B4426" w14:textId="77777777" w:rsidR="000D60F8" w:rsidRDefault="000D60F8" w:rsidP="00366E59">
            <w:pPr>
              <w:widowControl w:val="0"/>
              <w:spacing w:line="252" w:lineRule="auto"/>
              <w:jc w:val="both"/>
              <w:rPr>
                <w:rFonts w:ascii="Garamond" w:eastAsia="Calibri" w:hAnsi="Garamond" w:cs="Calibri"/>
                <w:b/>
                <w:bCs/>
                <w:color w:val="10950A"/>
              </w:rPr>
            </w:pPr>
            <w:r>
              <w:rPr>
                <w:rFonts w:ascii="Garamond" w:eastAsia="Calibri" w:hAnsi="Garamond" w:cs="Calibri"/>
                <w:b/>
                <w:bCs/>
                <w:color w:val="10950A"/>
              </w:rPr>
              <w:t>VFK Data Pro. Kft.</w:t>
            </w:r>
          </w:p>
          <w:p w14:paraId="7EE2147B" w14:textId="77777777" w:rsidR="000D60F8" w:rsidRDefault="000D60F8" w:rsidP="00366E59">
            <w:pPr>
              <w:widowControl w:val="0"/>
              <w:spacing w:line="252" w:lineRule="auto"/>
              <w:jc w:val="both"/>
              <w:rPr>
                <w:rFonts w:ascii="Garamond" w:eastAsia="Calibri" w:hAnsi="Garamond" w:cs="Calibri"/>
              </w:rPr>
            </w:pPr>
            <w:r>
              <w:rPr>
                <w:rFonts w:ascii="Garamond" w:eastAsia="Calibri" w:hAnsi="Garamond" w:cs="Calibri"/>
                <w:color w:val="7F7F7F"/>
              </w:rPr>
              <w:t>Székhely: 7800 Siklós, Ady Endre Utca 13.</w:t>
            </w:r>
          </w:p>
          <w:p w14:paraId="4238B91B" w14:textId="77777777" w:rsidR="000D60F8" w:rsidRDefault="000D60F8" w:rsidP="00366E59">
            <w:pPr>
              <w:widowControl w:val="0"/>
              <w:spacing w:line="252" w:lineRule="auto"/>
              <w:jc w:val="both"/>
              <w:rPr>
                <w:rFonts w:ascii="Garamond" w:eastAsia="Calibri" w:hAnsi="Garamond" w:cs="Calibri"/>
              </w:rPr>
            </w:pPr>
            <w:r>
              <w:rPr>
                <w:rFonts w:ascii="Garamond" w:eastAsia="Calibri" w:hAnsi="Garamond" w:cs="Calibri"/>
                <w:color w:val="7F7F7F"/>
              </w:rPr>
              <w:t>Telefonszám: +36 30 4538346</w:t>
            </w:r>
          </w:p>
          <w:p w14:paraId="1522158E" w14:textId="77777777" w:rsidR="000D60F8" w:rsidRDefault="000D60F8" w:rsidP="00366E59">
            <w:pPr>
              <w:widowControl w:val="0"/>
              <w:spacing w:line="252" w:lineRule="auto"/>
              <w:jc w:val="both"/>
              <w:rPr>
                <w:rFonts w:ascii="Garamond" w:eastAsia="Calibri" w:hAnsi="Garamond" w:cs="Calibri"/>
                <w:color w:val="7F7F7F"/>
              </w:rPr>
            </w:pPr>
            <w:hyperlink r:id="rId6">
              <w:r>
                <w:rPr>
                  <w:rStyle w:val="Internet-hivatkozs"/>
                  <w:rFonts w:ascii="Garamond" w:eastAsia="Calibri" w:hAnsi="Garamond" w:cs="Calibri"/>
                  <w:color w:val="0563C1"/>
                </w:rPr>
                <w:t>info@vfkdatapro.hu</w:t>
              </w:r>
            </w:hyperlink>
          </w:p>
          <w:p w14:paraId="57A1ACC5" w14:textId="77777777" w:rsidR="000D60F8" w:rsidRDefault="000D60F8" w:rsidP="00366E59">
            <w:pPr>
              <w:widowControl w:val="0"/>
              <w:spacing w:line="252" w:lineRule="auto"/>
              <w:jc w:val="both"/>
              <w:rPr>
                <w:rFonts w:ascii="Calibri" w:eastAsia="Calibri" w:hAnsi="Calibri" w:cs="Calibri"/>
              </w:rPr>
            </w:pPr>
            <w:hyperlink r:id="rId7">
              <w:r>
                <w:rPr>
                  <w:rStyle w:val="Internet-hivatkozs"/>
                  <w:rFonts w:ascii="Garamond" w:eastAsia="Calibri" w:hAnsi="Garamond" w:cs="Calibri"/>
                  <w:color w:val="0563C1"/>
                </w:rPr>
                <w:t>drvida.andras@vfkdatapro.hu</w:t>
              </w:r>
            </w:hyperlink>
          </w:p>
          <w:p w14:paraId="706DE6A4" w14:textId="77777777" w:rsidR="000D60F8" w:rsidRPr="004837AE" w:rsidRDefault="000D60F8" w:rsidP="00366E59">
            <w:pPr>
              <w:widowControl w:val="0"/>
              <w:spacing w:line="252" w:lineRule="auto"/>
              <w:jc w:val="both"/>
              <w:rPr>
                <w:rFonts w:ascii="Garamond" w:eastAsia="Calibri" w:hAnsi="Garamond" w:cs="Calibri"/>
                <w:b/>
                <w:bCs/>
                <w:color w:val="10950A"/>
              </w:rPr>
            </w:pPr>
            <w:hyperlink r:id="rId8">
              <w:r>
                <w:rPr>
                  <w:rStyle w:val="Internet-hivatkozs"/>
                  <w:rFonts w:ascii="Garamond" w:eastAsia="Calibri" w:hAnsi="Garamond" w:cs="Calibri"/>
                  <w:color w:val="0563C1"/>
                  <w:lang w:eastAsia="hu-HU"/>
                </w:rPr>
                <w:t>www.vfkdatapro.hu</w:t>
              </w:r>
            </w:hyperlink>
            <w:r>
              <w:rPr>
                <w:rFonts w:ascii="Garamond" w:eastAsia="Calibri" w:hAnsi="Garamond" w:cs="Calibri"/>
                <w:color w:val="7F7F7F"/>
              </w:rPr>
              <w:t xml:space="preserve"> </w:t>
            </w:r>
            <w:r>
              <w:rPr>
                <w:rFonts w:ascii="Garamond" w:eastAsia="Calibri" w:hAnsi="Garamond" w:cs="Calibri"/>
                <w:color w:val="7F7F7F"/>
              </w:rPr>
              <w:br/>
            </w:r>
            <w:r>
              <w:rPr>
                <w:rFonts w:ascii="Garamond" w:eastAsia="Calibri" w:hAnsi="Garamond" w:cs="Calibri"/>
                <w:b/>
                <w:bCs/>
                <w:color w:val="10950A"/>
              </w:rPr>
              <w:t>Kérjük, gondoljon a környezetére, mielőtt kinyomtatja ezt a levelet!</w:t>
            </w:r>
          </w:p>
        </w:tc>
      </w:tr>
      <w:tr w:rsidR="000D60F8" w14:paraId="244C2E89" w14:textId="77777777" w:rsidTr="00366E59">
        <w:tc>
          <w:tcPr>
            <w:tcW w:w="3128" w:type="dxa"/>
            <w:vAlign w:val="center"/>
          </w:tcPr>
          <w:p w14:paraId="0EEBA522" w14:textId="77777777" w:rsidR="000D60F8" w:rsidRDefault="000D60F8" w:rsidP="00366E59">
            <w:pPr>
              <w:widowControl w:val="0"/>
              <w:spacing w:line="252" w:lineRule="auto"/>
              <w:ind w:left="142"/>
              <w:jc w:val="both"/>
              <w:rPr>
                <w:rFonts w:eastAsiaTheme="minorEastAsia"/>
                <w:lang w:eastAsia="hu-HU"/>
              </w:rPr>
            </w:pPr>
            <w:r>
              <w:rPr>
                <w:noProof/>
                <w:lang w:eastAsia="hu-HU"/>
              </w:rPr>
              <w:drawing>
                <wp:inline distT="0" distB="0" distL="0" distR="0" wp14:anchorId="4041BA45" wp14:editId="3493C41B">
                  <wp:extent cx="1845945" cy="1105535"/>
                  <wp:effectExtent l="0" t="0" r="0" b="0"/>
                  <wp:docPr id="3" name="Kép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Kép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5945" cy="11055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12AC30D" w14:textId="77777777" w:rsidR="000D60F8" w:rsidRDefault="000D60F8" w:rsidP="00366E59">
            <w:pPr>
              <w:widowControl w:val="0"/>
              <w:spacing w:line="252" w:lineRule="auto"/>
              <w:jc w:val="both"/>
              <w:rPr>
                <w:rFonts w:ascii="Garamond" w:eastAsiaTheme="minorEastAsia" w:hAnsi="Garamond"/>
                <w:b/>
                <w:bCs/>
                <w:color w:val="10950A"/>
              </w:rPr>
            </w:pPr>
            <w:r>
              <w:rPr>
                <w:rFonts w:ascii="Forte" w:eastAsiaTheme="minorEastAsia" w:hAnsi="Forte"/>
                <w:color w:val="10950A"/>
                <w:lang w:eastAsia="hu-HU"/>
              </w:rPr>
              <w:t>       </w:t>
            </w:r>
            <w:r>
              <w:rPr>
                <w:rFonts w:ascii="Garamond" w:eastAsiaTheme="minorEastAsia" w:hAnsi="Garamond"/>
                <w:b/>
                <w:bCs/>
                <w:color w:val="10950A"/>
                <w:lang w:eastAsia="hu-HU"/>
              </w:rPr>
              <w:t xml:space="preserve"> VFK Data Pro. Kft.</w:t>
            </w:r>
          </w:p>
        </w:tc>
        <w:tc>
          <w:tcPr>
            <w:tcW w:w="238" w:type="dxa"/>
            <w:tcBorders>
              <w:left w:val="single" w:sz="12" w:space="0" w:color="7F7F7F"/>
            </w:tcBorders>
            <w:vAlign w:val="center"/>
          </w:tcPr>
          <w:p w14:paraId="608977F4" w14:textId="77777777" w:rsidR="000D60F8" w:rsidRDefault="000D60F8" w:rsidP="00366E59">
            <w:pPr>
              <w:widowControl w:val="0"/>
              <w:spacing w:line="252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 </w:t>
            </w:r>
          </w:p>
        </w:tc>
        <w:tc>
          <w:tcPr>
            <w:tcW w:w="6834" w:type="dxa"/>
            <w:vAlign w:val="center"/>
          </w:tcPr>
          <w:p w14:paraId="14CBA842" w14:textId="77777777" w:rsidR="000D60F8" w:rsidRDefault="000D60F8" w:rsidP="00366E59">
            <w:pPr>
              <w:widowControl w:val="0"/>
              <w:spacing w:line="252" w:lineRule="auto"/>
              <w:jc w:val="both"/>
              <w:rPr>
                <w:rFonts w:ascii="Garamond" w:hAnsi="Garamond"/>
                <w:color w:val="7F7F7F"/>
                <w:lang w:eastAsia="hu-HU"/>
              </w:rPr>
            </w:pPr>
            <w:r>
              <w:rPr>
                <w:rFonts w:ascii="Garamond" w:hAnsi="Garamond"/>
                <w:b/>
                <w:bCs/>
                <w:color w:val="7F7F7F"/>
                <w:lang w:eastAsia="hu-HU"/>
              </w:rPr>
              <w:t xml:space="preserve">dr. Fejes Péter </w:t>
            </w:r>
            <w:r>
              <w:rPr>
                <w:rFonts w:ascii="Garamond" w:hAnsi="Garamond"/>
                <w:color w:val="7F7F7F"/>
                <w:lang w:eastAsia="hu-HU"/>
              </w:rPr>
              <w:t>LL.M.</w:t>
            </w:r>
            <w:r>
              <w:rPr>
                <w:rFonts w:ascii="Garamond" w:eastAsia="Calibri" w:hAnsi="Garamond" w:cs="Calibri"/>
                <w:color w:val="7F7F7F"/>
              </w:rPr>
              <w:t xml:space="preserve"> | </w:t>
            </w:r>
            <w:r>
              <w:rPr>
                <w:rFonts w:ascii="Garamond" w:eastAsiaTheme="minorEastAsia" w:hAnsi="Garamond"/>
                <w:color w:val="7F7F7F"/>
                <w:lang w:eastAsia="hu-HU"/>
              </w:rPr>
              <w:t>adatvédelmi és adatbiztonsági szakjogász</w:t>
            </w:r>
          </w:p>
          <w:p w14:paraId="64029808" w14:textId="77777777" w:rsidR="000D60F8" w:rsidRDefault="000D60F8" w:rsidP="00366E59">
            <w:pPr>
              <w:widowControl w:val="0"/>
              <w:spacing w:line="252" w:lineRule="auto"/>
              <w:jc w:val="both"/>
              <w:rPr>
                <w:rFonts w:ascii="Garamond" w:eastAsia="Calibri" w:hAnsi="Garamond" w:cs="Times New Roman"/>
                <w:lang w:eastAsia="hu-HU"/>
              </w:rPr>
            </w:pPr>
            <w:r>
              <w:rPr>
                <w:rFonts w:ascii="Garamond" w:eastAsiaTheme="minorEastAsia" w:hAnsi="Garamond"/>
                <w:color w:val="7F7F7F"/>
                <w:lang w:eastAsia="hu-HU"/>
              </w:rPr>
              <w:t>Ügyvezető</w:t>
            </w:r>
          </w:p>
          <w:p w14:paraId="528F639D" w14:textId="77777777" w:rsidR="000D60F8" w:rsidRDefault="000D60F8" w:rsidP="00366E59">
            <w:pPr>
              <w:widowControl w:val="0"/>
              <w:spacing w:line="252" w:lineRule="auto"/>
              <w:jc w:val="both"/>
              <w:rPr>
                <w:rFonts w:ascii="Garamond" w:eastAsia="Calibri" w:hAnsi="Garamond" w:cs="Calibri"/>
                <w:b/>
                <w:bCs/>
                <w:color w:val="10950A"/>
              </w:rPr>
            </w:pPr>
            <w:r>
              <w:rPr>
                <w:rFonts w:ascii="Garamond" w:eastAsia="Calibri" w:hAnsi="Garamond" w:cs="Calibri"/>
                <w:b/>
                <w:bCs/>
                <w:color w:val="10950A"/>
              </w:rPr>
              <w:t>VFK Data Pro. Kft.</w:t>
            </w:r>
          </w:p>
          <w:p w14:paraId="61ED6FC6" w14:textId="77777777" w:rsidR="000D60F8" w:rsidRDefault="000D60F8" w:rsidP="00366E59">
            <w:pPr>
              <w:widowControl w:val="0"/>
              <w:spacing w:line="252" w:lineRule="auto"/>
              <w:jc w:val="both"/>
              <w:rPr>
                <w:rFonts w:ascii="Garamond" w:eastAsia="Calibri" w:hAnsi="Garamond" w:cs="Calibri"/>
              </w:rPr>
            </w:pPr>
            <w:r>
              <w:rPr>
                <w:rFonts w:ascii="Garamond" w:eastAsia="Calibri" w:hAnsi="Garamond" w:cs="Calibri"/>
                <w:color w:val="7F7F7F"/>
              </w:rPr>
              <w:t>Székhely: 7800 Siklós, Ady Endre Utca 13.</w:t>
            </w:r>
          </w:p>
          <w:p w14:paraId="6CE5F4CA" w14:textId="77777777" w:rsidR="000D60F8" w:rsidRDefault="000D60F8" w:rsidP="00366E59">
            <w:pPr>
              <w:widowControl w:val="0"/>
              <w:spacing w:line="252" w:lineRule="auto"/>
              <w:jc w:val="both"/>
              <w:rPr>
                <w:rFonts w:ascii="Garamond" w:hAnsi="Garamond"/>
                <w:lang w:eastAsia="hu-HU"/>
              </w:rPr>
            </w:pPr>
            <w:r>
              <w:rPr>
                <w:rFonts w:ascii="Garamond" w:eastAsia="Calibri" w:hAnsi="Garamond" w:cs="Calibri"/>
                <w:color w:val="7F7F7F"/>
              </w:rPr>
              <w:t xml:space="preserve">Telefonszám: </w:t>
            </w:r>
            <w:r>
              <w:rPr>
                <w:rFonts w:ascii="Garamond" w:hAnsi="Garamond"/>
                <w:color w:val="7F7F7F"/>
                <w:lang w:eastAsia="hu-HU"/>
              </w:rPr>
              <w:t>+36 20 5228673</w:t>
            </w:r>
          </w:p>
          <w:p w14:paraId="4CECDEDF" w14:textId="77777777" w:rsidR="000D60F8" w:rsidRDefault="000D60F8" w:rsidP="00366E59">
            <w:pPr>
              <w:widowControl w:val="0"/>
              <w:spacing w:line="252" w:lineRule="auto"/>
              <w:jc w:val="both"/>
              <w:rPr>
                <w:rFonts w:ascii="Garamond" w:eastAsia="Calibri" w:hAnsi="Garamond" w:cs="Calibri"/>
                <w:color w:val="7F7F7F"/>
              </w:rPr>
            </w:pPr>
            <w:hyperlink r:id="rId9">
              <w:r>
                <w:rPr>
                  <w:rStyle w:val="Internet-hivatkozs"/>
                  <w:rFonts w:ascii="Garamond" w:eastAsia="Calibri" w:hAnsi="Garamond" w:cs="Calibri"/>
                  <w:color w:val="0563C1"/>
                </w:rPr>
                <w:t>info@vfkdatapro.hu</w:t>
              </w:r>
            </w:hyperlink>
          </w:p>
          <w:p w14:paraId="362EE3A9" w14:textId="77777777" w:rsidR="000D60F8" w:rsidRDefault="000D60F8" w:rsidP="00366E59">
            <w:pPr>
              <w:widowControl w:val="0"/>
              <w:spacing w:line="252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Style w:val="Internet-hivatkozs"/>
                <w:rFonts w:ascii="Garamond" w:hAnsi="Garamond"/>
                <w:color w:val="0563C1"/>
              </w:rPr>
              <w:t>drfejes.peter@vfkdatapro.hu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  <w:p w14:paraId="3FE08B48" w14:textId="77777777" w:rsidR="000D60F8" w:rsidRDefault="000D60F8" w:rsidP="00366E59">
            <w:pPr>
              <w:widowControl w:val="0"/>
              <w:spacing w:line="252" w:lineRule="auto"/>
              <w:jc w:val="both"/>
              <w:rPr>
                <w:rFonts w:ascii="Calibri" w:eastAsia="Calibri" w:hAnsi="Calibri" w:cs="Calibri"/>
              </w:rPr>
            </w:pPr>
            <w:hyperlink r:id="rId10">
              <w:r>
                <w:rPr>
                  <w:rStyle w:val="Internet-hivatkozs"/>
                  <w:rFonts w:ascii="Garamond" w:eastAsia="Calibri" w:hAnsi="Garamond" w:cs="Calibri"/>
                  <w:color w:val="0563C1"/>
                  <w:lang w:eastAsia="hu-HU"/>
                </w:rPr>
                <w:t>www.vfkdatapro.hu</w:t>
              </w:r>
            </w:hyperlink>
            <w:r>
              <w:rPr>
                <w:rFonts w:ascii="Garamond" w:eastAsia="Calibri" w:hAnsi="Garamond" w:cs="Calibri"/>
                <w:color w:val="7F7F7F"/>
              </w:rPr>
              <w:t xml:space="preserve"> </w:t>
            </w:r>
            <w:r>
              <w:rPr>
                <w:rFonts w:ascii="Garamond" w:eastAsia="Calibri" w:hAnsi="Garamond" w:cs="Calibri"/>
                <w:color w:val="7F7F7F"/>
              </w:rPr>
              <w:br/>
            </w:r>
            <w:r>
              <w:rPr>
                <w:rFonts w:ascii="Garamond" w:eastAsia="Calibri" w:hAnsi="Garamond" w:cs="Calibri"/>
                <w:b/>
                <w:bCs/>
                <w:color w:val="10950A"/>
              </w:rPr>
              <w:t>Kérjük, gondoljon a környezetére, mielőtt kinyomtatja ezt a levelet!</w:t>
            </w:r>
          </w:p>
        </w:tc>
      </w:tr>
    </w:tbl>
    <w:p w14:paraId="19A20E65" w14:textId="77777777" w:rsidR="000D60F8" w:rsidRDefault="000D60F8" w:rsidP="000D60F8"/>
    <w:p w14:paraId="790EFD3F" w14:textId="77777777" w:rsidR="000D60F8" w:rsidRDefault="000D60F8" w:rsidP="000D60F8">
      <w:pPr>
        <w:jc w:val="both"/>
      </w:pPr>
    </w:p>
    <w:p w14:paraId="4F1661CE" w14:textId="77777777" w:rsidR="000D60F8" w:rsidRDefault="000D60F8" w:rsidP="000D60F8">
      <w:pPr>
        <w:jc w:val="both"/>
      </w:pPr>
    </w:p>
    <w:p w14:paraId="28B308DC" w14:textId="77777777" w:rsidR="000D60F8" w:rsidRDefault="000D60F8" w:rsidP="000D60F8">
      <w:pPr>
        <w:jc w:val="both"/>
      </w:pPr>
    </w:p>
    <w:p w14:paraId="77679E69" w14:textId="77777777" w:rsidR="000D60F8" w:rsidRDefault="000D60F8" w:rsidP="000D60F8">
      <w:pPr>
        <w:jc w:val="both"/>
      </w:pPr>
    </w:p>
    <w:p w14:paraId="353F1283" w14:textId="77777777" w:rsidR="000D60F8" w:rsidRPr="00C75E2C" w:rsidRDefault="000D60F8" w:rsidP="00C75E2C"/>
    <w:p w14:paraId="188DEFC6" w14:textId="77777777" w:rsidR="00C2125B" w:rsidRDefault="00C2125B"/>
    <w:sectPr w:rsidR="00C212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orte">
    <w:panose1 w:val="03060902040502070203"/>
    <w:charset w:val="00"/>
    <w:family w:val="script"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0A4EC6"/>
    <w:multiLevelType w:val="multilevel"/>
    <w:tmpl w:val="84228D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7D11E7"/>
    <w:multiLevelType w:val="multilevel"/>
    <w:tmpl w:val="052482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91E4DFF"/>
    <w:multiLevelType w:val="multilevel"/>
    <w:tmpl w:val="038695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FC06D98"/>
    <w:multiLevelType w:val="multilevel"/>
    <w:tmpl w:val="66621D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C4D52BF"/>
    <w:multiLevelType w:val="hybridMultilevel"/>
    <w:tmpl w:val="6F6263B6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8B373CA"/>
    <w:multiLevelType w:val="multilevel"/>
    <w:tmpl w:val="9B9AF7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356320268">
    <w:abstractNumId w:val="0"/>
  </w:num>
  <w:num w:numId="2" w16cid:durableId="334116998">
    <w:abstractNumId w:val="5"/>
  </w:num>
  <w:num w:numId="3" w16cid:durableId="1774784456">
    <w:abstractNumId w:val="2"/>
  </w:num>
  <w:num w:numId="4" w16cid:durableId="2089569953">
    <w:abstractNumId w:val="1"/>
  </w:num>
  <w:num w:numId="5" w16cid:durableId="675769479">
    <w:abstractNumId w:val="3"/>
  </w:num>
  <w:num w:numId="6" w16cid:durableId="78434514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5E2C"/>
    <w:rsid w:val="00060073"/>
    <w:rsid w:val="000D60F8"/>
    <w:rsid w:val="00411232"/>
    <w:rsid w:val="004643BF"/>
    <w:rsid w:val="00546DDA"/>
    <w:rsid w:val="006759C9"/>
    <w:rsid w:val="007E6B13"/>
    <w:rsid w:val="00AD7FEE"/>
    <w:rsid w:val="00C2125B"/>
    <w:rsid w:val="00C75E2C"/>
    <w:rsid w:val="00F0422E"/>
    <w:rsid w:val="00F24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F4D665"/>
  <w15:chartTrackingRefBased/>
  <w15:docId w15:val="{9B95AA8C-30BE-464E-AA30-E944234FEA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C75E2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C75E2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C75E2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C75E2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C75E2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C75E2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C75E2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C75E2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C75E2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C75E2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C75E2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C75E2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C75E2C"/>
    <w:rPr>
      <w:rFonts w:eastAsiaTheme="majorEastAsia" w:cstheme="majorBidi"/>
      <w:i/>
      <w:iCs/>
      <w:color w:val="2F5496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C75E2C"/>
    <w:rPr>
      <w:rFonts w:eastAsiaTheme="majorEastAsia" w:cstheme="majorBidi"/>
      <w:color w:val="2F5496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C75E2C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C75E2C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C75E2C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C75E2C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C75E2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C75E2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C75E2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C75E2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C75E2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C75E2C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C75E2C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C75E2C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C75E2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C75E2C"/>
    <w:rPr>
      <w:i/>
      <w:iCs/>
      <w:color w:val="2F5496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C75E2C"/>
    <w:rPr>
      <w:b/>
      <w:bCs/>
      <w:smallCaps/>
      <w:color w:val="2F5496" w:themeColor="accent1" w:themeShade="BF"/>
      <w:spacing w:val="5"/>
    </w:rPr>
  </w:style>
  <w:style w:type="character" w:customStyle="1" w:styleId="Internet-hivatkozs">
    <w:name w:val="Internet-hivatkozás"/>
    <w:basedOn w:val="Bekezdsalapbettpusa"/>
    <w:uiPriority w:val="99"/>
    <w:unhideWhenUsed/>
    <w:rsid w:val="000D60F8"/>
    <w:rPr>
      <w:color w:val="0000FF"/>
      <w:u w:val="single"/>
    </w:rPr>
  </w:style>
  <w:style w:type="paragraph" w:customStyle="1" w:styleId="Tblzattartalom">
    <w:name w:val="Táblázattartalom"/>
    <w:basedOn w:val="Norml"/>
    <w:qFormat/>
    <w:rsid w:val="000D60F8"/>
    <w:pPr>
      <w:widowControl w:val="0"/>
      <w:suppressLineNumbers/>
      <w:suppressAutoHyphens/>
      <w:spacing w:after="0" w:line="240" w:lineRule="auto"/>
    </w:pPr>
    <w:rPr>
      <w:rFonts w:ascii="Liberation Serif" w:eastAsia="NSimSun" w:hAnsi="Liberation Serif" w:cs="Arial"/>
      <w:sz w:val="24"/>
      <w:szCs w:val="24"/>
      <w:lang w:eastAsia="zh-C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fkdatapro.hu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drvida.andras@vfkdatapro.h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@vfkdatapro.hu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http://www.vfkdatapro.h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info@vfkdatapro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681</Words>
  <Characters>4706</Characters>
  <Application>Microsoft Office Word</Application>
  <DocSecurity>0</DocSecurity>
  <Lines>39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Stringovics Niki</dc:creator>
  <cp:keywords/>
  <dc:description/>
  <cp:lastModifiedBy>Zsolt Nagy</cp:lastModifiedBy>
  <cp:revision>2</cp:revision>
  <dcterms:created xsi:type="dcterms:W3CDTF">2026-01-25T17:59:00Z</dcterms:created>
  <dcterms:modified xsi:type="dcterms:W3CDTF">2026-01-25T17:59:00Z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d86aa382-d1cf-4300-bef9-1f2a0915d6a6</vt:lpwstr>
  </property>
</Properties>
</file>